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09492039" wp14:editId="5565D411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A5528" w:rsidRPr="0002251B" w:rsidRDefault="003A552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3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7"/>
      </w:tblGrid>
      <w:tr w:rsidR="0002251B" w:rsidRPr="003A5528" w:rsidTr="003A5528">
        <w:trPr>
          <w:trHeight w:val="6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3A5528" w:rsidTr="003A5528">
        <w:trPr>
          <w:trHeight w:val="52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3A5528" w:rsidTr="003A5528">
        <w:trPr>
          <w:trHeight w:val="52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1B3E59" w:rsidP="002D23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VY_32_INOVACE_0313 Uzávěrkové operace</w:t>
            </w:r>
            <w:r w:rsidR="0002251B"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02251B" w:rsidRPr="003A5528" w:rsidTr="003A5528">
        <w:trPr>
          <w:trHeight w:val="52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1B3E59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3A5528" w:rsidTr="003A5528">
        <w:trPr>
          <w:trHeight w:val="52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2D230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02251B" w:rsidRPr="003A5528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1B3E59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3A5528" w:rsidTr="003A5528">
        <w:trPr>
          <w:trHeight w:val="52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3A5528" w:rsidTr="003A5528">
        <w:trPr>
          <w:trHeight w:val="52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1B3E59" w:rsidP="00422AA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2.11.</w:t>
            </w:r>
            <w:r w:rsidR="0002251B" w:rsidRPr="003A5528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3A5528" w:rsidTr="003A5528">
        <w:trPr>
          <w:trHeight w:val="52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662BCA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sz w:val="24"/>
                <w:szCs w:val="24"/>
                <w:lang w:eastAsia="cs-CZ"/>
              </w:rPr>
              <w:t>Uzávěrkové operace</w:t>
            </w:r>
          </w:p>
        </w:tc>
      </w:tr>
      <w:tr w:rsidR="0002251B" w:rsidRPr="003A5528" w:rsidTr="003A5528">
        <w:trPr>
          <w:trHeight w:val="52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2D230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A5528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3A5528" w:rsidTr="003A5528">
        <w:trPr>
          <w:trHeight w:val="524"/>
          <w:jc w:val="center"/>
        </w:trPr>
        <w:tc>
          <w:tcPr>
            <w:tcW w:w="923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A5528" w:rsidRDefault="00AE32E2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3E51C604" wp14:editId="62265A9F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BCA" w:rsidRDefault="00662BCA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62BCA" w:rsidRPr="00662BCA" w:rsidRDefault="00662BCA" w:rsidP="0002251B">
      <w:pPr>
        <w:rPr>
          <w:rFonts w:ascii="Arial" w:eastAsia="Arial" w:hAnsi="Arial" w:cs="Arial"/>
          <w:b/>
          <w:noProof/>
          <w:color w:val="0070C0"/>
          <w:sz w:val="48"/>
          <w:szCs w:val="48"/>
          <w:lang w:eastAsia="cs-CZ"/>
        </w:rPr>
      </w:pPr>
      <w:r w:rsidRPr="00662BCA">
        <w:rPr>
          <w:rFonts w:ascii="Arial" w:eastAsia="Arial" w:hAnsi="Arial" w:cs="Arial"/>
          <w:b/>
          <w:noProof/>
          <w:color w:val="0070C0"/>
          <w:sz w:val="48"/>
          <w:szCs w:val="48"/>
          <w:lang w:eastAsia="cs-CZ"/>
        </w:rPr>
        <w:t>Uzávěrkové operace</w:t>
      </w:r>
    </w:p>
    <w:p w:rsidR="00662BCA" w:rsidRDefault="00662BCA" w:rsidP="0002251B">
      <w:pP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Účetní období vrc</w:t>
      </w: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holí sestavením účetní závěrky</w:t>
      </w: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Předtím</w:t>
      </w: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 je nutné uzavřít všechny knihy</w:t>
      </w: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Musí se provést inventariz</w:t>
      </w:r>
      <w:r w:rsidR="00433A00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aci majetku, závazků</w:t>
      </w: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Následuje </w:t>
      </w: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zaúčtov</w:t>
      </w: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ání</w:t>
      </w: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 uzávěrkov</w:t>
      </w: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ých operací</w:t>
      </w: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P</w:t>
      </w: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oté se účty uzavřou </w:t>
      </w:r>
    </w:p>
    <w:p w:rsidR="002D2303" w:rsidRP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Nakonec</w:t>
      </w: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 </w:t>
      </w: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se </w:t>
      </w: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vypočítá </w:t>
      </w: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účetní hospodářský výsledek</w:t>
      </w:r>
    </w:p>
    <w:p w:rsidR="00662BCA" w:rsidRDefault="00662BCA" w:rsidP="0002251B">
      <w:pPr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</w:pPr>
    </w:p>
    <w:p w:rsidR="00662BCA" w:rsidRPr="00662BCA" w:rsidRDefault="00662BCA" w:rsidP="0002251B">
      <w:pPr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</w:pP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>Výsledkové účty se uzavřou na závěrkový účet 710 – </w:t>
      </w:r>
      <w:r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>ú</w:t>
      </w:r>
      <w:r w:rsidRPr="00662BCA"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  <w:t>čet zisků a ztrát</w:t>
      </w:r>
      <w:r w:rsidRPr="00662BCA"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 xml:space="preserve">. </w:t>
      </w: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 xml:space="preserve">Účet 710 shrnuje zůstatky veškerých výnosových a nákladových účtů. </w:t>
      </w: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 xml:space="preserve">Porovnáním nákladů a výnosů </w:t>
      </w:r>
      <w:r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 xml:space="preserve">se </w:t>
      </w:r>
      <w:r w:rsidRPr="00662BCA"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>urč</w:t>
      </w:r>
      <w:r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>í</w:t>
      </w:r>
      <w:r w:rsidRPr="00662BCA"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 xml:space="preserve"> hospodářský výsledek.</w:t>
      </w:r>
    </w:p>
    <w:p w:rsidR="00662BCA" w:rsidRP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 xml:space="preserve">Zjistí se, </w:t>
      </w:r>
      <w:r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>jestli</w:t>
      </w:r>
      <w:r w:rsidRPr="00662BCA">
        <w:rPr>
          <w:rFonts w:ascii="Arial" w:eastAsia="Arial" w:hAnsi="Arial" w:cs="Arial"/>
          <w:b/>
          <w:noProof/>
          <w:color w:val="A92997"/>
          <w:sz w:val="24"/>
          <w:szCs w:val="24"/>
          <w:lang w:eastAsia="cs-CZ"/>
        </w:rPr>
        <w:t xml:space="preserve"> podnik účetně dosáhl ve sledovaném roce zisku nebo ztráty.</w:t>
      </w:r>
    </w:p>
    <w:p w:rsidR="00662BCA" w:rsidRDefault="00662BCA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62BCA" w:rsidRDefault="00662BCA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Zjištěný hospodářský výsledek je podkladem pro výpočet </w:t>
      </w:r>
      <w:hyperlink r:id="rId7" w:history="1">
        <w:r w:rsidRPr="00662BCA">
          <w:rPr>
            <w:rStyle w:val="Hypertextovodkaz"/>
            <w:rFonts w:ascii="Arial" w:eastAsia="Arial" w:hAnsi="Arial" w:cs="Arial"/>
            <w:b/>
            <w:noProof/>
            <w:color w:val="0070C0"/>
            <w:sz w:val="24"/>
            <w:szCs w:val="24"/>
            <w:u w:val="none"/>
            <w:lang w:eastAsia="cs-CZ"/>
          </w:rPr>
          <w:t>daně z příjmů</w:t>
        </w:r>
      </w:hyperlink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. </w:t>
      </w:r>
    </w:p>
    <w:p w:rsid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Hospodářský výsledek se upraví na základ </w:t>
      </w:r>
      <w:hyperlink r:id="rId8" w:history="1">
        <w:r w:rsidRPr="00662BCA">
          <w:rPr>
            <w:rStyle w:val="Hypertextovodkaz"/>
            <w:rFonts w:ascii="Arial" w:eastAsia="Arial" w:hAnsi="Arial" w:cs="Arial"/>
            <w:b/>
            <w:noProof/>
            <w:color w:val="0070C0"/>
            <w:sz w:val="24"/>
            <w:szCs w:val="24"/>
            <w:u w:val="none"/>
            <w:lang w:eastAsia="cs-CZ"/>
          </w:rPr>
          <w:t>daně</w:t>
        </w:r>
      </w:hyperlink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 xml:space="preserve">. </w:t>
      </w:r>
    </w:p>
    <w:p w:rsidR="00662BCA" w:rsidRPr="00662BCA" w:rsidRDefault="00662BCA" w:rsidP="00662BCA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Vypočítaná daňová povinnost je poslední účetní operací, která je zaúčtována ve sledovaném roce</w:t>
      </w:r>
      <w:r>
        <w:rPr>
          <w:rFonts w:ascii="Arial" w:eastAsia="Arial" w:hAnsi="Arial" w:cs="Arial"/>
          <w:b/>
          <w:noProof/>
          <w:color w:val="0070C0"/>
          <w:sz w:val="24"/>
          <w:szCs w:val="24"/>
          <w:lang w:eastAsia="cs-CZ"/>
        </w:rPr>
        <w:t>.</w:t>
      </w:r>
    </w:p>
    <w:p w:rsidR="00662BCA" w:rsidRDefault="00662BCA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62BCA" w:rsidRDefault="00662BCA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05CD006B" wp14:editId="2495CB2F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BCA" w:rsidRDefault="00662BCA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662BCA" w:rsidRDefault="00662BCA" w:rsidP="00662BCA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  <w:t xml:space="preserve">Následuje uzávěrka rozvahových účtů. </w:t>
      </w:r>
    </w:p>
    <w:p w:rsidR="00662BCA" w:rsidRDefault="00662BCA" w:rsidP="00662BCA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  <w:t>Aktivní a pasivní účty se uzavírají na účet 702 – konečný účet rozvažný.</w:t>
      </w:r>
    </w:p>
    <w:p w:rsidR="00662BCA" w:rsidRDefault="00662BCA" w:rsidP="00662BCA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</w:pPr>
      <w:r w:rsidRPr="00662BCA"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  <w:t xml:space="preserve">Účetní hospodářský výsledek po odečtení </w:t>
      </w:r>
      <w:hyperlink r:id="rId9" w:history="1">
        <w:r w:rsidRPr="00662BCA">
          <w:rPr>
            <w:rStyle w:val="Hypertextovodkaz"/>
            <w:rFonts w:ascii="Arial" w:eastAsia="Arial" w:hAnsi="Arial" w:cs="Arial"/>
            <w:b/>
            <w:bCs/>
            <w:noProof/>
            <w:color w:val="A92997"/>
            <w:sz w:val="24"/>
            <w:szCs w:val="24"/>
            <w:u w:val="none"/>
            <w:lang w:eastAsia="cs-CZ"/>
          </w:rPr>
          <w:t>daně z příjmů</w:t>
        </w:r>
      </w:hyperlink>
      <w:r w:rsidR="00433A00"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  <w:t xml:space="preserve"> tvoří </w:t>
      </w:r>
      <w:r w:rsidRPr="00662BCA"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  <w:t>disponibilní hospodářský výsledek tedy zisk po zdanění.</w:t>
      </w:r>
    </w:p>
    <w:p w:rsidR="00433A00" w:rsidRPr="00433A00" w:rsidRDefault="00433A00" w:rsidP="00433A00">
      <w:pPr>
        <w:spacing w:line="360" w:lineRule="auto"/>
        <w:rPr>
          <w:rFonts w:ascii="Arial" w:eastAsia="Arial" w:hAnsi="Arial" w:cs="Arial"/>
          <w:b/>
          <w:bCs/>
          <w:noProof/>
          <w:color w:val="A92997"/>
          <w:sz w:val="24"/>
          <w:szCs w:val="24"/>
          <w:lang w:eastAsia="cs-CZ"/>
        </w:rPr>
      </w:pPr>
    </w:p>
    <w:p w:rsidR="00433A00" w:rsidRDefault="00662BCA" w:rsidP="00662BCA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</w:pPr>
      <w:r w:rsidRPr="00433A00"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  <w:t>O rozdělení zisku po zdanění rozhoduje u podniků individ</w:t>
      </w:r>
      <w:r w:rsidR="00433A00"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  <w:t>uálního podnikatele sám majitel.</w:t>
      </w:r>
    </w:p>
    <w:p w:rsidR="00433A00" w:rsidRPr="00433A00" w:rsidRDefault="00433A00" w:rsidP="00433A00">
      <w:pPr>
        <w:pStyle w:val="Odstavecseseznamem"/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</w:pPr>
    </w:p>
    <w:p w:rsidR="00662BCA" w:rsidRDefault="00433A00" w:rsidP="00662BCA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</w:pPr>
      <w:r w:rsidRPr="00433A00"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  <w:t xml:space="preserve">O rozdělení zisku po zdanění rozhoduje </w:t>
      </w:r>
      <w:r w:rsidR="00662BCA" w:rsidRPr="00433A00"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  <w:t xml:space="preserve">u obchodní společnosti rozhoduje většinou valná hromada společníků. </w:t>
      </w:r>
    </w:p>
    <w:p w:rsidR="00433A00" w:rsidRPr="00433A00" w:rsidRDefault="00433A00" w:rsidP="00433A00">
      <w:pPr>
        <w:pStyle w:val="Odstavecseseznamem"/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</w:pPr>
    </w:p>
    <w:p w:rsidR="00433A00" w:rsidRPr="00433A00" w:rsidRDefault="00433A00" w:rsidP="00433A00">
      <w:pPr>
        <w:pStyle w:val="Odstavecseseznamem"/>
        <w:spacing w:line="360" w:lineRule="auto"/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</w:pPr>
    </w:p>
    <w:p w:rsidR="00662BCA" w:rsidRPr="00433A00" w:rsidRDefault="00662BCA" w:rsidP="00662BCA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</w:pPr>
      <w:r w:rsidRPr="00433A00"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  <w:t xml:space="preserve">Hospodářský výsledek obchodních společností se vždy rozdělí v souladu ustanovením </w:t>
      </w:r>
      <w:hyperlink r:id="rId10" w:history="1">
        <w:r w:rsidRPr="00433A00">
          <w:rPr>
            <w:rStyle w:val="Hypertextovodkaz"/>
            <w:rFonts w:ascii="Arial" w:eastAsia="Arial" w:hAnsi="Arial" w:cs="Arial"/>
            <w:bCs/>
            <w:noProof/>
            <w:color w:val="A92997"/>
            <w:sz w:val="24"/>
            <w:szCs w:val="24"/>
            <w:u w:val="none"/>
            <w:lang w:eastAsia="cs-CZ"/>
          </w:rPr>
          <w:t>obchodního zákoníku</w:t>
        </w:r>
      </w:hyperlink>
      <w:r w:rsidRPr="00433A00"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  <w:t xml:space="preserve"> a společenské </w:t>
      </w:r>
      <w:hyperlink r:id="rId11" w:history="1">
        <w:r w:rsidRPr="00433A00">
          <w:rPr>
            <w:rStyle w:val="Hypertextovodkaz"/>
            <w:rFonts w:ascii="Arial" w:eastAsia="Arial" w:hAnsi="Arial" w:cs="Arial"/>
            <w:bCs/>
            <w:noProof/>
            <w:color w:val="A92997"/>
            <w:sz w:val="24"/>
            <w:szCs w:val="24"/>
            <w:u w:val="none"/>
            <w:lang w:eastAsia="cs-CZ"/>
          </w:rPr>
          <w:t>smlouvy</w:t>
        </w:r>
      </w:hyperlink>
      <w:r w:rsidR="00433A00">
        <w:rPr>
          <w:rFonts w:ascii="Arial" w:eastAsia="Arial" w:hAnsi="Arial" w:cs="Arial"/>
          <w:bCs/>
          <w:noProof/>
          <w:color w:val="A92997"/>
          <w:sz w:val="24"/>
          <w:szCs w:val="24"/>
          <w:lang w:eastAsia="cs-CZ"/>
        </w:rPr>
        <w:t>.</w:t>
      </w:r>
    </w:p>
    <w:p w:rsidR="00662BCA" w:rsidRDefault="00662BCA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662BCA" w:rsidRDefault="00662BCA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433A00" w:rsidRPr="00433A00" w:rsidRDefault="00433A00" w:rsidP="00433A00">
      <w:pPr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  <w:r w:rsidRPr="00433A00"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  <w:t>Inventarizace</w:t>
      </w:r>
    </w:p>
    <w:p w:rsidR="00433A00" w:rsidRDefault="00433A00" w:rsidP="00433A00">
      <w:pPr>
        <w:pStyle w:val="Odstavecseseznamem"/>
        <w:numPr>
          <w:ilvl w:val="0"/>
          <w:numId w:val="12"/>
        </w:numPr>
        <w:spacing w:before="240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433A00">
        <w:rPr>
          <w:rFonts w:ascii="Arial" w:eastAsia="Arial" w:hAnsi="Arial" w:cs="Arial"/>
          <w:bCs/>
          <w:noProof/>
          <w:sz w:val="24"/>
          <w:szCs w:val="24"/>
          <w:lang w:eastAsia="cs-CZ"/>
        </w:rPr>
        <w:t>Před uz</w:t>
      </w:r>
      <w:r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avřením účetních knih se provede </w:t>
      </w:r>
      <w:hyperlink r:id="rId12" w:history="1">
        <w:r w:rsidRPr="00433A00">
          <w:rPr>
            <w:rStyle w:val="Hypertextovodkaz"/>
            <w:rFonts w:ascii="Arial" w:eastAsia="Arial" w:hAnsi="Arial" w:cs="Arial"/>
            <w:bCs/>
            <w:noProof/>
            <w:color w:val="auto"/>
            <w:sz w:val="24"/>
            <w:szCs w:val="24"/>
            <w:u w:val="none"/>
            <w:lang w:eastAsia="cs-CZ"/>
          </w:rPr>
          <w:t>inventarizace</w:t>
        </w:r>
      </w:hyperlink>
      <w:r w:rsidRPr="00433A00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, díky </w:t>
      </w:r>
      <w:r>
        <w:rPr>
          <w:rFonts w:ascii="Arial" w:eastAsia="Arial" w:hAnsi="Arial" w:cs="Arial"/>
          <w:bCs/>
          <w:noProof/>
          <w:sz w:val="24"/>
          <w:szCs w:val="24"/>
          <w:lang w:eastAsia="cs-CZ"/>
        </w:rPr>
        <w:t>ní</w:t>
      </w:r>
      <w:r w:rsidRPr="00433A00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 se zkontroluje věcná správnost </w:t>
      </w:r>
      <w:hyperlink r:id="rId13" w:history="1">
        <w:r w:rsidRPr="00433A00">
          <w:rPr>
            <w:rStyle w:val="Hypertextovodkaz"/>
            <w:rFonts w:ascii="Arial" w:eastAsia="Arial" w:hAnsi="Arial" w:cs="Arial"/>
            <w:bCs/>
            <w:noProof/>
            <w:color w:val="auto"/>
            <w:sz w:val="24"/>
            <w:szCs w:val="24"/>
            <w:u w:val="none"/>
            <w:lang w:eastAsia="cs-CZ"/>
          </w:rPr>
          <w:t>účetnictví</w:t>
        </w:r>
      </w:hyperlink>
      <w:r w:rsidRPr="00433A00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. </w:t>
      </w:r>
    </w:p>
    <w:p w:rsidR="00433A00" w:rsidRDefault="00433A00" w:rsidP="00433A00">
      <w:pPr>
        <w:pStyle w:val="Odstavecseseznamem"/>
        <w:spacing w:before="240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</w:p>
    <w:p w:rsidR="00433A00" w:rsidRDefault="00433A00" w:rsidP="00433A00">
      <w:pPr>
        <w:pStyle w:val="Odstavecseseznamem"/>
        <w:numPr>
          <w:ilvl w:val="0"/>
          <w:numId w:val="12"/>
        </w:numPr>
        <w:spacing w:before="240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Při inventarizaci se zjistí </w:t>
      </w:r>
      <w:r w:rsidRPr="00433A00">
        <w:rPr>
          <w:rFonts w:ascii="Arial" w:eastAsia="Arial" w:hAnsi="Arial" w:cs="Arial"/>
          <w:bCs/>
          <w:noProof/>
          <w:sz w:val="24"/>
          <w:szCs w:val="24"/>
          <w:lang w:eastAsia="cs-CZ"/>
        </w:rPr>
        <w:t>skutečný stav majetku a záv</w:t>
      </w:r>
      <w:r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azků a porovná </w:t>
      </w:r>
      <w:r w:rsidRPr="00433A00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se stavem účetním. </w:t>
      </w:r>
    </w:p>
    <w:p w:rsidR="00433A00" w:rsidRDefault="00433A00" w:rsidP="00433A00">
      <w:pPr>
        <w:pStyle w:val="Odstavecseseznamem"/>
        <w:spacing w:before="240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</w:p>
    <w:p w:rsidR="00433A00" w:rsidRPr="00433A00" w:rsidRDefault="00433A00" w:rsidP="00433A00">
      <w:pPr>
        <w:pStyle w:val="Odstavecseseznamem"/>
        <w:numPr>
          <w:ilvl w:val="0"/>
          <w:numId w:val="12"/>
        </w:numPr>
        <w:spacing w:before="240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433A00">
        <w:rPr>
          <w:rFonts w:ascii="Arial" w:eastAsia="Arial" w:hAnsi="Arial" w:cs="Arial"/>
          <w:bCs/>
          <w:noProof/>
          <w:sz w:val="24"/>
          <w:szCs w:val="24"/>
          <w:lang w:eastAsia="cs-CZ"/>
        </w:rPr>
        <w:t>V případě, že některý z účetních stavů neodpovídá skutečnosti, je nutné zaúčtovat inventarizační rozdíly tj. manko nebo přebytek</w:t>
      </w:r>
    </w:p>
    <w:p w:rsidR="00662BCA" w:rsidRDefault="00662BCA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FD74A7" w:rsidRDefault="00FD74A7" w:rsidP="002D230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02CB2D45" wp14:editId="47945EF9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A00" w:rsidRDefault="00433A00" w:rsidP="002D230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33A00" w:rsidRPr="00433A00" w:rsidRDefault="00433A00" w:rsidP="00433A00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70C0"/>
          <w:sz w:val="27"/>
          <w:szCs w:val="27"/>
          <w:lang w:eastAsia="cs-CZ"/>
        </w:rPr>
      </w:pPr>
      <w:r w:rsidRPr="00433A00">
        <w:rPr>
          <w:rFonts w:ascii="Arial" w:eastAsia="Times New Roman" w:hAnsi="Arial" w:cs="Arial"/>
          <w:b/>
          <w:bCs/>
          <w:color w:val="0070C0"/>
          <w:sz w:val="27"/>
          <w:szCs w:val="27"/>
          <w:lang w:eastAsia="cs-CZ"/>
        </w:rPr>
        <w:t>Uzávěrkové účetní operace</w:t>
      </w:r>
    </w:p>
    <w:p w:rsidR="00433A00" w:rsidRDefault="00433A00" w:rsidP="00637A5B">
      <w:pPr>
        <w:pStyle w:val="Odstavecseseznamem"/>
        <w:numPr>
          <w:ilvl w:val="0"/>
          <w:numId w:val="14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433A00">
        <w:rPr>
          <w:rFonts w:ascii="Arial" w:eastAsia="Times New Roman" w:hAnsi="Arial" w:cs="Arial"/>
          <w:sz w:val="24"/>
          <w:szCs w:val="24"/>
          <w:lang w:eastAsia="cs-CZ"/>
        </w:rPr>
        <w:t xml:space="preserve">Na konci roku musíme pro zjištění hospodářského výsledku zaúčtovat i účetní operace, na které podnik ještě nedostal potřebné doklady, a zúčtovat položky časového rozlišení. </w:t>
      </w:r>
    </w:p>
    <w:p w:rsidR="00433A00" w:rsidRDefault="00433A00" w:rsidP="00637A5B">
      <w:pPr>
        <w:pStyle w:val="Odstavecseseznamem"/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433A00" w:rsidRDefault="00433A00" w:rsidP="00637A5B">
      <w:pPr>
        <w:pStyle w:val="Odstavecseseznamem"/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433A00" w:rsidRPr="00433A00" w:rsidRDefault="00433A00" w:rsidP="00637A5B">
      <w:pPr>
        <w:pStyle w:val="Odstavecseseznamem"/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0070C0"/>
          <w:sz w:val="24"/>
          <w:szCs w:val="24"/>
          <w:lang w:eastAsia="cs-CZ"/>
        </w:rPr>
      </w:pPr>
      <w:r w:rsidRPr="00433A00">
        <w:rPr>
          <w:rFonts w:ascii="Arial" w:eastAsia="Times New Roman" w:hAnsi="Arial" w:cs="Arial"/>
          <w:b/>
          <w:color w:val="0070C0"/>
          <w:sz w:val="24"/>
          <w:szCs w:val="24"/>
          <w:lang w:eastAsia="cs-CZ"/>
        </w:rPr>
        <w:t>Mezi uzávěrkové účetní operace patří:</w:t>
      </w:r>
    </w:p>
    <w:p w:rsidR="00433A00" w:rsidRPr="00433A00" w:rsidRDefault="00433A00" w:rsidP="00637A5B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</w:pPr>
      <w:r w:rsidRPr="00433A00"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  <w:t>nevyfakturované dodávky a zásoby na cestě,</w:t>
      </w:r>
    </w:p>
    <w:p w:rsidR="00433A00" w:rsidRPr="00433A00" w:rsidRDefault="00433A00" w:rsidP="00637A5B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</w:pPr>
      <w:r w:rsidRPr="00433A00"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  <w:t>účtování dohadných položek,</w:t>
      </w:r>
    </w:p>
    <w:p w:rsidR="00433A00" w:rsidRPr="00433A00" w:rsidRDefault="00433A00" w:rsidP="00637A5B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</w:pPr>
      <w:r w:rsidRPr="00433A00"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  <w:t>časové rozlišení nákladů a výnosů,</w:t>
      </w:r>
    </w:p>
    <w:p w:rsidR="00433A00" w:rsidRPr="00433A00" w:rsidRDefault="00433A00" w:rsidP="00637A5B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</w:pPr>
      <w:r w:rsidRPr="00433A00"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  <w:t>kurzové rozdíly,</w:t>
      </w:r>
    </w:p>
    <w:p w:rsidR="00433A00" w:rsidRPr="00433A00" w:rsidRDefault="00433A00" w:rsidP="00637A5B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</w:pPr>
      <w:r w:rsidRPr="00433A00"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  <w:t>účtování rezerv,</w:t>
      </w:r>
    </w:p>
    <w:p w:rsidR="00433A00" w:rsidRPr="00433A00" w:rsidRDefault="00433A00" w:rsidP="00637A5B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</w:pPr>
      <w:r w:rsidRPr="00433A00"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  <w:t>tvorba opravných položek,</w:t>
      </w:r>
    </w:p>
    <w:p w:rsidR="00433A00" w:rsidRPr="00433A00" w:rsidRDefault="00433A00" w:rsidP="00637A5B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</w:pPr>
      <w:r w:rsidRPr="00433A00">
        <w:rPr>
          <w:rFonts w:ascii="Arial" w:eastAsia="Times New Roman" w:hAnsi="Arial" w:cs="Arial"/>
          <w:b/>
          <w:color w:val="A92997"/>
          <w:sz w:val="24"/>
          <w:szCs w:val="24"/>
          <w:lang w:eastAsia="cs-CZ"/>
        </w:rPr>
        <w:t>odpis pohledávek.</w:t>
      </w:r>
    </w:p>
    <w:p w:rsidR="00433A00" w:rsidRDefault="00433A00" w:rsidP="00637A5B">
      <w:pPr>
        <w:spacing w:line="36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D74A7" w:rsidRDefault="00FD74A7" w:rsidP="002D230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D74A7" w:rsidRDefault="00FD74A7" w:rsidP="002D230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Pr="002D2303" w:rsidRDefault="002D2303" w:rsidP="002D230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Pr="00FD74A7" w:rsidRDefault="002D2303" w:rsidP="00FD74A7">
      <w:p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2D2303" w:rsidRPr="00FD74A7" w:rsidRDefault="002D2303" w:rsidP="00FD74A7">
      <w:pPr>
        <w:spacing w:line="360" w:lineRule="auto"/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2D2303" w:rsidRPr="00FD74A7" w:rsidRDefault="002D2303" w:rsidP="00FD74A7">
      <w:pPr>
        <w:spacing w:line="360" w:lineRule="auto"/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3AEDDB2F" wp14:editId="51FE78EF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Použité zdroje: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- Vlastní zdroje</w:t>
      </w:r>
    </w:p>
    <w:p w:rsid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637A5B" w:rsidRPr="00B55A8E" w:rsidRDefault="00637A5B" w:rsidP="00B55A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37A5B">
        <w:rPr>
          <w:rFonts w:ascii="Arial" w:hAnsi="Arial" w:cs="Arial"/>
          <w:sz w:val="24"/>
          <w:szCs w:val="24"/>
        </w:rPr>
        <w:t>http://</w:t>
      </w:r>
      <w:proofErr w:type="gramStart"/>
      <w:r w:rsidRPr="00637A5B">
        <w:rPr>
          <w:rFonts w:ascii="Arial" w:hAnsi="Arial" w:cs="Arial"/>
          <w:sz w:val="24"/>
          <w:szCs w:val="24"/>
        </w:rPr>
        <w:t>www</w:t>
      </w:r>
      <w:proofErr w:type="gramEnd"/>
      <w:r w:rsidRPr="00637A5B">
        <w:rPr>
          <w:rFonts w:ascii="Arial" w:hAnsi="Arial" w:cs="Arial"/>
          <w:sz w:val="24"/>
          <w:szCs w:val="24"/>
        </w:rPr>
        <w:t>.</w:t>
      </w:r>
      <w:proofErr w:type="gramStart"/>
      <w:r w:rsidRPr="00637A5B">
        <w:rPr>
          <w:rFonts w:ascii="Arial" w:hAnsi="Arial" w:cs="Arial"/>
          <w:sz w:val="24"/>
          <w:szCs w:val="24"/>
        </w:rPr>
        <w:t>podnikatel</w:t>
      </w:r>
      <w:proofErr w:type="gramEnd"/>
      <w:r w:rsidRPr="00637A5B">
        <w:rPr>
          <w:rFonts w:ascii="Arial" w:hAnsi="Arial" w:cs="Arial"/>
          <w:sz w:val="24"/>
          <w:szCs w:val="24"/>
        </w:rPr>
        <w:t>.cz/clanky/jak-pripravit-ucetnictvi-na-uzaverku/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- Vyhláška č. 500/2002 Sb., zákon o účetnictví, České účetní standardy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- Obrázky webu Office.com</w:t>
      </w: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Pr="002D2303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2D23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300F"/>
    <w:multiLevelType w:val="hybridMultilevel"/>
    <w:tmpl w:val="4FE0CA9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84919"/>
    <w:multiLevelType w:val="multilevel"/>
    <w:tmpl w:val="EFD0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240141"/>
    <w:multiLevelType w:val="hybridMultilevel"/>
    <w:tmpl w:val="948AED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A844D6"/>
    <w:multiLevelType w:val="hybridMultilevel"/>
    <w:tmpl w:val="12549106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7AE55D0"/>
    <w:multiLevelType w:val="hybridMultilevel"/>
    <w:tmpl w:val="9E4EA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057283"/>
    <w:multiLevelType w:val="hybridMultilevel"/>
    <w:tmpl w:val="EEB6486A"/>
    <w:lvl w:ilvl="0" w:tplc="04050007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1255736"/>
    <w:multiLevelType w:val="hybridMultilevel"/>
    <w:tmpl w:val="DB4440A0"/>
    <w:lvl w:ilvl="0" w:tplc="040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C4D1C"/>
    <w:multiLevelType w:val="hybridMultilevel"/>
    <w:tmpl w:val="FE92F534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904545C"/>
    <w:multiLevelType w:val="hybridMultilevel"/>
    <w:tmpl w:val="C58E6A34"/>
    <w:lvl w:ilvl="0" w:tplc="040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A506E"/>
    <w:multiLevelType w:val="hybridMultilevel"/>
    <w:tmpl w:val="A68494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955048"/>
    <w:multiLevelType w:val="hybridMultilevel"/>
    <w:tmpl w:val="313C1C3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7D1C01"/>
    <w:multiLevelType w:val="hybridMultilevel"/>
    <w:tmpl w:val="7E5C0640"/>
    <w:lvl w:ilvl="0" w:tplc="040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087782"/>
    <w:multiLevelType w:val="hybridMultilevel"/>
    <w:tmpl w:val="2D72CAE8"/>
    <w:lvl w:ilvl="0" w:tplc="0405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3B06F86"/>
    <w:multiLevelType w:val="hybridMultilevel"/>
    <w:tmpl w:val="631C9EDE"/>
    <w:lvl w:ilvl="0" w:tplc="040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7"/>
  </w:num>
  <w:num w:numId="5">
    <w:abstractNumId w:val="2"/>
  </w:num>
  <w:num w:numId="6">
    <w:abstractNumId w:val="11"/>
  </w:num>
  <w:num w:numId="7">
    <w:abstractNumId w:val="13"/>
  </w:num>
  <w:num w:numId="8">
    <w:abstractNumId w:val="5"/>
  </w:num>
  <w:num w:numId="9">
    <w:abstractNumId w:val="0"/>
  </w:num>
  <w:num w:numId="10">
    <w:abstractNumId w:val="8"/>
  </w:num>
  <w:num w:numId="11">
    <w:abstractNumId w:val="6"/>
  </w:num>
  <w:num w:numId="12">
    <w:abstractNumId w:val="9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1B"/>
    <w:rsid w:val="0002251B"/>
    <w:rsid w:val="001B3E59"/>
    <w:rsid w:val="002D2303"/>
    <w:rsid w:val="003750EA"/>
    <w:rsid w:val="003A5528"/>
    <w:rsid w:val="0041329A"/>
    <w:rsid w:val="00422AA3"/>
    <w:rsid w:val="00433A00"/>
    <w:rsid w:val="004A0E66"/>
    <w:rsid w:val="004E4EB4"/>
    <w:rsid w:val="00540C63"/>
    <w:rsid w:val="0055077F"/>
    <w:rsid w:val="00627C4A"/>
    <w:rsid w:val="00637A5B"/>
    <w:rsid w:val="00662BCA"/>
    <w:rsid w:val="00897B93"/>
    <w:rsid w:val="009B06DE"/>
    <w:rsid w:val="00AE32E2"/>
    <w:rsid w:val="00B3538A"/>
    <w:rsid w:val="00B55A8E"/>
    <w:rsid w:val="00E76D02"/>
    <w:rsid w:val="00F61EB8"/>
    <w:rsid w:val="00FB61CE"/>
    <w:rsid w:val="00FD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D2303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62B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D2303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62B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6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18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6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9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85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3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9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76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nikatel.cz/slovnicek/dan/" TargetMode="External"/><Relationship Id="rId13" Type="http://schemas.openxmlformats.org/officeDocument/2006/relationships/hyperlink" Target="http://www.podnikatel.cz/firma/ucetnictv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odnikatel.cz/firma/dane/dan-z-prijmu-fo/" TargetMode="External"/><Relationship Id="rId12" Type="http://schemas.openxmlformats.org/officeDocument/2006/relationships/hyperlink" Target="http://www.podnikatel.cz/slovnicek/inventur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odnikatel.cz/start/krizovatka-uspechu/start-formulare-a-smlouv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odnikatel.cz/zakony/zakon-c-513-1991-sb-obchodni-zakoni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dnikatel.cz/firma/dane/dan-z-prijmu-f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482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2014-06-24T05:58:00Z</dcterms:created>
  <dcterms:modified xsi:type="dcterms:W3CDTF">2014-10-23T12:02:00Z</dcterms:modified>
</cp:coreProperties>
</file>